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2023年北京市国际象棋一级裁判员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日常培训课程安排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tbl>
      <w:tblPr>
        <w:tblStyle w:val="2"/>
        <w:tblW w:w="916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026"/>
        <w:gridCol w:w="5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" w:hRule="atLeast"/>
        </w:trPr>
        <w:tc>
          <w:tcPr>
            <w:tcW w:w="15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日期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时间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6月29日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9:00-10:30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国际象棋比赛常用赛制和方法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10:30-11:20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11:30-12:00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交流、规则答疑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12:00-13:30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13:30-14:30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国际象棋常用编排软件介绍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国际象棋裁判员职责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14:30-16:00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国际象棋比赛判罚实例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16:00-16:30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《北京市体育竞赛裁判员管理办法》</w:t>
            </w:r>
          </w:p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裁判员注册操作讲解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16:30-18:00</w:t>
            </w:r>
          </w:p>
        </w:tc>
        <w:tc>
          <w:tcPr>
            <w:tcW w:w="554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  <w:szCs w:val="32"/>
              </w:rPr>
              <w:t>交流讨论及实操答疑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16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腾讯会议上课要求：</w:t>
            </w:r>
          </w:p>
          <w:p>
            <w:pPr>
              <w:spacing w:line="560" w:lineRule="exact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1、请学员自行准备规则及有关教材，准时参会，实名上课；</w:t>
            </w:r>
          </w:p>
          <w:p>
            <w:pPr>
              <w:spacing w:line="560" w:lineRule="exact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2、上课前需完成签到；</w:t>
            </w:r>
          </w:p>
          <w:p>
            <w:pPr>
              <w:spacing w:line="560" w:lineRule="exact"/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3、老师授课时请学员自觉将麦克风静音，交流时可举手发言；</w:t>
            </w:r>
          </w:p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4、本培训未经申请批准不得参会，会议号将发至邮箱。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Dc0NDkyYmIzMTM4ZTY0NTUwZDk5ODI3MWMifQ=="/>
  </w:docVars>
  <w:rsids>
    <w:rsidRoot w:val="00000000"/>
    <w:rsid w:val="491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2023-06-14T06:33:38Z</dcterms:created>
  <dc:creator>Lenovo</dc:creator>
  <cp:lastModifiedBy>一君丫头</cp:lastModifiedBy>
  <dcterms:modified xsi:type="dcterms:W3CDTF">2023-06-14T06:36:15Z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945C9BC35B374FFE90D3A17FD109D822_13</vt:lpwstr>
  </property>
</Properties>
</file>